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0" w:firstLine="709"/>
        <w:jc w:val="both"/>
        <w:rPr/>
      </w:pPr>
      <w:r>
        <w:rPr>
          <w:strike w:val="false"/>
          <w:dstrike w:val="false"/>
          <w:sz w:val="28"/>
          <w:szCs w:val="28"/>
          <w:u w:val="none"/>
          <w:effect w:val="none"/>
        </w:rPr>
        <w:t xml:space="preserve">                                              </w:t>
      </w:r>
    </w:p>
    <w:p>
      <w:pPr>
        <w:pStyle w:val="ListParagraph"/>
        <w:ind w:left="0" w:firstLine="709"/>
        <w:jc w:val="both"/>
        <w:rPr/>
      </w:pPr>
      <w:r>
        <w:rPr>
          <w:strike w:val="false"/>
          <w:dstrike w:val="false"/>
          <w:sz w:val="28"/>
          <w:szCs w:val="28"/>
          <w:u w:val="none"/>
          <w:effect w:val="none"/>
        </w:rPr>
        <w:t xml:space="preserve">                                               </w:t>
      </w:r>
      <w:r>
        <w:rPr>
          <w:rFonts w:cs="PT Astra Serif" w:ascii="PT Astra Serif" w:hAnsi="PT Astra Serif"/>
          <w:strike w:val="false"/>
          <w:dstrike w:val="false"/>
          <w:sz w:val="28"/>
          <w:szCs w:val="28"/>
          <w:u w:val="none"/>
          <w:effect w:val="none"/>
          <w:lang w:val="ru-RU"/>
        </w:rPr>
        <w:t>ЗАКЛЮЧЕНИЕ</w:t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cs="PT Astra Serif" w:ascii="PT Astra Serif" w:hAnsi="PT Astra Serif"/>
          <w:sz w:val="28"/>
          <w:szCs w:val="28"/>
          <w:lang w:val="ru-RU"/>
        </w:rPr>
        <w:t>о результатах  публичных слушаний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rFonts w:cs="PT Astra Serif" w:ascii="PT Astra Serif" w:hAnsi="PT Astra Serif"/>
          <w:sz w:val="28"/>
          <w:szCs w:val="28"/>
          <w:lang w:val="ru-RU"/>
        </w:rPr>
        <w:t xml:space="preserve">   </w:t>
      </w:r>
      <w:r>
        <w:rPr>
          <w:rFonts w:cs="PT Astra Serif" w:ascii="PT Astra Serif" w:hAnsi="PT Astra Serif"/>
          <w:sz w:val="28"/>
          <w:szCs w:val="28"/>
          <w:lang w:val="ru-RU"/>
        </w:rPr>
        <w:t>«</w:t>
      </w:r>
      <w:r>
        <w:rPr>
          <w:rFonts w:cs="PT Astra Serif" w:ascii="PT Astra Serif" w:hAnsi="PT Astra Serif"/>
          <w:sz w:val="28"/>
          <w:szCs w:val="28"/>
          <w:u w:val="single"/>
          <w:lang w:val="ru-RU"/>
        </w:rPr>
        <w:t>_19_</w:t>
      </w:r>
      <w:r>
        <w:rPr>
          <w:rFonts w:cs="PT Astra Serif" w:ascii="PT Astra Serif" w:hAnsi="PT Astra Serif"/>
          <w:sz w:val="28"/>
          <w:szCs w:val="28"/>
          <w:lang w:val="ru-RU"/>
        </w:rPr>
        <w:t xml:space="preserve">» </w:t>
      </w:r>
      <w:r>
        <w:rPr>
          <w:rFonts w:cs="PT Astra Serif" w:ascii="PT Astra Serif" w:hAnsi="PT Astra Serif"/>
          <w:sz w:val="28"/>
          <w:szCs w:val="28"/>
          <w:u w:val="single"/>
          <w:lang w:val="ru-RU"/>
        </w:rPr>
        <w:t>_декабря_</w:t>
      </w:r>
      <w:r>
        <w:rPr>
          <w:rFonts w:cs="PT Astra Serif" w:ascii="PT Astra Serif" w:hAnsi="PT Astra Serif"/>
          <w:sz w:val="28"/>
          <w:szCs w:val="28"/>
          <w:lang w:val="ru-RU"/>
        </w:rPr>
        <w:t xml:space="preserve"> 20</w:t>
      </w:r>
      <w:r>
        <w:rPr>
          <w:rFonts w:cs="PT Astra Serif" w:ascii="PT Astra Serif" w:hAnsi="PT Astra Serif"/>
          <w:sz w:val="28"/>
          <w:szCs w:val="28"/>
          <w:u w:val="single"/>
          <w:lang w:val="ru-RU"/>
        </w:rPr>
        <w:t>24</w:t>
      </w:r>
      <w:r>
        <w:rPr>
          <w:rFonts w:cs="PT Astra Serif" w:ascii="PT Astra Serif" w:hAnsi="PT Astra Serif"/>
          <w:sz w:val="28"/>
          <w:szCs w:val="28"/>
          <w:lang w:val="ru-RU"/>
        </w:rPr>
        <w:t xml:space="preserve"> г.</w:t>
        <w:tab/>
        <w:tab/>
        <w:tab/>
        <w:tab/>
        <w:tab/>
        <w:tab/>
        <w:tab/>
        <w:tab/>
      </w:r>
    </w:p>
    <w:p>
      <w:pPr>
        <w:pStyle w:val="ConsPlusNonformat"/>
        <w:rPr/>
      </w:pPr>
      <w:r>
        <w:rPr>
          <w:rFonts w:cs="PT Astra Serif" w:ascii="PT Astra Serif" w:hAnsi="PT Astra Serif"/>
        </w:rPr>
        <w:t xml:space="preserve"> </w:t>
      </w:r>
    </w:p>
    <w:p>
      <w:pPr>
        <w:pStyle w:val="ConsPlusNonformat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Наименование проекта, вынесенного на публичные слушания:</w:t>
      </w:r>
      <w:r>
        <w:rPr>
          <w:rFonts w:cs="PT Astra Serif" w:ascii="PT Astra Serif" w:hAnsi="PT Astra Serif"/>
          <w:bCs/>
          <w:sz w:val="28"/>
          <w:szCs w:val="28"/>
          <w:lang w:val="ru-RU" w:eastAsia="ru-RU"/>
        </w:rPr>
        <w:t xml:space="preserve"> </w:t>
      </w:r>
      <w:r>
        <w:rPr>
          <w:rFonts w:cs="PT Astra Serif" w:ascii="PT Astra Serif" w:hAnsi="PT Astra Serif"/>
          <w:sz w:val="28"/>
          <w:szCs w:val="28"/>
          <w:u w:val="single"/>
          <w:lang w:val="ru-RU" w:eastAsia="ru-RU"/>
        </w:rPr>
        <w:t xml:space="preserve"> п</w:t>
      </w:r>
      <w:bookmarkStart w:id="0" w:name="__DdeLink__1058_883837461"/>
      <w:r>
        <w:rPr>
          <w:rFonts w:cs="PT Astra Serif" w:ascii="PT Astra Serif" w:hAnsi="PT Astra Serif"/>
          <w:sz w:val="28"/>
          <w:szCs w:val="28"/>
          <w:u w:val="single"/>
          <w:lang w:val="ru-RU" w:eastAsia="ru-RU"/>
        </w:rPr>
        <w:t>о вопросу</w:t>
      </w:r>
      <w:r>
        <w:rPr>
          <w:rFonts w:cs="PT Astra Serif" w:ascii="PT Astra Serif" w:hAnsi="PT Astra Serif"/>
          <w:sz w:val="28"/>
          <w:szCs w:val="28"/>
          <w:lang w:val="ru-RU" w:eastAsia="ru-RU"/>
        </w:rPr>
        <w:t xml:space="preserve"> </w:t>
      </w:r>
      <w:r>
        <w:rPr>
          <w:rFonts w:cs="Times New Roman" w:ascii="PT Astra Serif" w:hAnsi="PT Astra Serif"/>
          <w:b w:val="false"/>
          <w:bCs w:val="false"/>
          <w:sz w:val="28"/>
          <w:szCs w:val="28"/>
          <w:u w:val="single"/>
          <w:lang w:val="ru-RU" w:eastAsia="ru-RU"/>
        </w:rPr>
        <w:t>предоставления  разрешения на условно разрешенный вид использования земельного участка</w:t>
      </w:r>
      <w:r>
        <w:rPr>
          <w:rFonts w:cs="PT Astra Serif" w:ascii="PT Astra Serif" w:hAnsi="PT Astra Serif"/>
          <w:b w:val="false"/>
          <w:bCs w:val="false"/>
          <w:sz w:val="28"/>
          <w:szCs w:val="28"/>
          <w:u w:val="single"/>
          <w:lang w:val="ru-RU" w:eastAsia="ru-RU"/>
        </w:rPr>
        <w:t xml:space="preserve"> под «осуществление религиозных обрядов»</w:t>
      </w:r>
      <w:r>
        <w:rPr>
          <w:rFonts w:cs="PT Astra Serif" w:ascii="PT Astra Serif" w:hAnsi="PT Astra Serif"/>
          <w:sz w:val="28"/>
          <w:szCs w:val="28"/>
          <w:u w:val="single"/>
          <w:lang w:val="ru-RU"/>
        </w:rPr>
        <w:t xml:space="preserve"> расположенного по адресу:  Российская Федерация, Ульяновская область, Новомалыклинский район, муниципальное образование «Высококолковское сельское поселение», село Елховый Куст, улица Победы, 11а                       </w:t>
      </w:r>
      <w:bookmarkEnd w:id="0"/>
      <w:r>
        <w:rPr>
          <w:rFonts w:cs="PT Astra Serif" w:ascii="PT Astra Serif" w:hAnsi="PT Astra Serif"/>
          <w:sz w:val="28"/>
          <w:szCs w:val="28"/>
          <w:u w:val="single"/>
          <w:lang w:val="ru-RU"/>
        </w:rPr>
        <w:t xml:space="preserve">      .  </w:t>
      </w:r>
      <w:r>
        <w:rPr>
          <w:rFonts w:cs="PT Astra Serif" w:ascii="PT Astra Serif" w:hAnsi="PT Astra Serif"/>
          <w:sz w:val="28"/>
          <w:szCs w:val="28"/>
        </w:rPr>
        <w:t xml:space="preserve">                                     </w:t>
      </w:r>
      <w:bookmarkStart w:id="1" w:name="__DdeLink__103137_1660168949"/>
      <w:r>
        <w:rPr>
          <w:rFonts w:eastAsia="PT Astra Serif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lang w:val="ru-RU" w:eastAsia="ru-RU"/>
        </w:rPr>
        <w:t xml:space="preserve">               </w:t>
      </w:r>
      <w:bookmarkEnd w:id="1"/>
      <w:r>
        <w:rPr>
          <w:rFonts w:eastAsia="PT Astra Serif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lang w:val="ru-RU" w:eastAsia="ru-RU"/>
        </w:rPr>
        <w:t xml:space="preserve">   </w:t>
      </w:r>
    </w:p>
    <w:p>
      <w:pPr>
        <w:pStyle w:val="ConsPlusNonformat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      </w:t>
      </w:r>
      <w:r>
        <w:rPr>
          <w:rFonts w:cs="PT Astra Serif" w:ascii="PT Astra Serif" w:hAnsi="PT Astra Serif"/>
          <w:sz w:val="28"/>
          <w:szCs w:val="28"/>
        </w:rPr>
        <w:t>В публичных слушаниях приняли участие</w:t>
      </w:r>
      <w:r>
        <w:rPr>
          <w:rFonts w:cs="PT Astra Serif" w:ascii="PT Astra Serif" w:hAnsi="PT Astra Serif"/>
          <w:sz w:val="28"/>
          <w:szCs w:val="28"/>
          <w:u w:val="single"/>
        </w:rPr>
        <w:t xml:space="preserve">_6  (шесть)_участников.             _             </w:t>
      </w:r>
      <w:r>
        <w:rPr>
          <w:rFonts w:cs="PT Astra Serif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</w:rPr>
        <w:t xml:space="preserve">                                                                                                                                                  </w:t>
      </w:r>
    </w:p>
    <w:p>
      <w:pPr>
        <w:pStyle w:val="ConsPlusNonformat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Заключение о результатах публичных слушаний подготовлено</w:t>
        <w:br/>
        <w:t>на основании протокола публичных слушаний</w:t>
        <w:br/>
        <w:t>от «</w:t>
      </w:r>
      <w:r>
        <w:rPr>
          <w:rFonts w:cs="PT Astra Serif" w:ascii="PT Astra Serif" w:hAnsi="PT Astra Serif"/>
          <w:sz w:val="28"/>
          <w:szCs w:val="28"/>
          <w:u w:val="single"/>
        </w:rPr>
        <w:t>13</w:t>
      </w:r>
      <w:r>
        <w:rPr>
          <w:rFonts w:cs="PT Astra Serif" w:ascii="PT Astra Serif" w:hAnsi="PT Astra Serif"/>
          <w:sz w:val="28"/>
          <w:szCs w:val="28"/>
        </w:rPr>
        <w:t>» _</w:t>
      </w:r>
      <w:r>
        <w:rPr>
          <w:rFonts w:cs="PT Astra Serif" w:ascii="PT Astra Serif" w:hAnsi="PT Astra Serif"/>
          <w:sz w:val="28"/>
          <w:szCs w:val="28"/>
          <w:u w:val="single"/>
        </w:rPr>
        <w:t>февраля</w:t>
      </w:r>
      <w:r>
        <w:rPr>
          <w:rFonts w:cs="PT Astra Serif" w:ascii="PT Astra Serif" w:hAnsi="PT Astra Serif"/>
          <w:sz w:val="28"/>
          <w:szCs w:val="28"/>
        </w:rPr>
        <w:t>_ 20</w:t>
      </w:r>
      <w:r>
        <w:rPr>
          <w:rFonts w:cs="PT Astra Serif" w:ascii="PT Astra Serif" w:hAnsi="PT Astra Serif"/>
          <w:sz w:val="28"/>
          <w:szCs w:val="28"/>
          <w:u w:val="single"/>
        </w:rPr>
        <w:t xml:space="preserve"> 24_</w:t>
      </w:r>
      <w:r>
        <w:rPr>
          <w:rFonts w:cs="PT Astra Serif" w:ascii="PT Astra Serif" w:hAnsi="PT Astra Serif"/>
          <w:sz w:val="28"/>
          <w:szCs w:val="28"/>
        </w:rPr>
        <w:t xml:space="preserve"> г.</w:t>
      </w:r>
      <w:r>
        <w:rPr>
          <w:rFonts w:eastAsia="PT Astra Serif" w:cs="PT Astra Serif" w:ascii="PT Astra Serif" w:hAnsi="PT Astra Serif"/>
          <w:sz w:val="28"/>
          <w:szCs w:val="28"/>
        </w:rPr>
        <w:t xml:space="preserve">    </w:t>
      </w:r>
    </w:p>
    <w:p>
      <w:pPr>
        <w:pStyle w:val="ConsPlusNonformat"/>
        <w:jc w:val="both"/>
        <w:rPr/>
      </w:pPr>
      <w:r>
        <w:rPr>
          <w:rFonts w:eastAsia="PT Astra Serif" w:cs="PT Astra Serif" w:ascii="PT Astra Serif" w:hAnsi="PT Astra Serif"/>
          <w:sz w:val="28"/>
          <w:szCs w:val="28"/>
        </w:rPr>
        <w:t xml:space="preserve">В ходе проведения  публичных слушаний участниками были внесены следующие замечания и предложения:   </w:t>
      </w:r>
    </w:p>
    <w:tbl>
      <w:tblPr>
        <w:tblW w:w="9543" w:type="dxa"/>
        <w:jc w:val="left"/>
        <w:tblInd w:w="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</w:tblPr>
      <w:tblGrid>
        <w:gridCol w:w="682"/>
        <w:gridCol w:w="5556"/>
        <w:gridCol w:w="3305"/>
      </w:tblGrid>
      <w:tr>
        <w:trPr/>
        <w:tc>
          <w:tcPr>
            <w:tcW w:w="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ind w:left="-149" w:right="-119" w:hanging="0"/>
              <w:jc w:val="center"/>
              <w:rPr/>
            </w:pPr>
            <w:r>
              <w:rPr>
                <w:rFonts w:eastAsia="Century"/>
                <w:bCs/>
              </w:rPr>
              <w:t xml:space="preserve">№ </w:t>
            </w:r>
            <w:r>
              <w:rPr>
                <w:bCs/>
              </w:rPr>
              <w:t>п/п</w:t>
            </w:r>
          </w:p>
        </w:tc>
        <w:tc>
          <w:tcPr>
            <w:tcW w:w="5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ind w:left="-37" w:hanging="0"/>
              <w:jc w:val="center"/>
              <w:rPr>
                <w:bCs/>
              </w:rPr>
            </w:pPr>
            <w:r>
              <w:rPr>
                <w:bCs/>
              </w:rPr>
              <w:t>Содержание предложения/замечания</w:t>
            </w:r>
          </w:p>
        </w:tc>
        <w:tc>
          <w:tcPr>
            <w:tcW w:w="3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Аргументированные выводы о целесообразности (нецелесообразности) учёта внесённых участниками предложений и замечаний</w:t>
            </w:r>
          </w:p>
        </w:tc>
      </w:tr>
      <w:tr>
        <w:trPr/>
        <w:tc>
          <w:tcPr>
            <w:tcW w:w="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5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sPlusNonformat"/>
              <w:snapToGrid w:val="false"/>
              <w:jc w:val="left"/>
              <w:rPr/>
            </w:pPr>
            <w:r>
              <w:rPr>
                <w:rFonts w:cs="PT Astra Serif"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cs="PT Astra Serif" w:ascii="Times New Roman" w:hAnsi="Times New Roman"/>
                <w:sz w:val="22"/>
                <w:szCs w:val="22"/>
              </w:rPr>
              <w:t>Сафина Альфия Гусмановна</w:t>
            </w:r>
          </w:p>
          <w:p>
            <w:pPr>
              <w:pStyle w:val="ConsPlusNonformat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rFonts w:cs="PT Astra Serif" w:ascii="Times New Roman" w:hAnsi="Times New Roman"/>
                <w:sz w:val="22"/>
                <w:szCs w:val="22"/>
              </w:rPr>
              <w:t>с.Елховый Куст,ул.Центральная,6.</w:t>
            </w:r>
          </w:p>
          <w:p>
            <w:pPr>
              <w:pStyle w:val="ConsPlusNonformat"/>
              <w:snapToGrid w:val="false"/>
              <w:jc w:val="left"/>
              <w:rPr>
                <w:rFonts w:ascii="Times New Roman" w:hAnsi="Times New Roman" w:cs="PT Astra Serif"/>
                <w:sz w:val="22"/>
                <w:szCs w:val="22"/>
              </w:rPr>
            </w:pPr>
            <w:r>
              <w:rPr>
                <w:rFonts w:cs="PT Astra Serif" w:ascii="Times New Roman" w:hAnsi="Times New Roman"/>
                <w:sz w:val="22"/>
                <w:szCs w:val="22"/>
              </w:rPr>
            </w:r>
          </w:p>
          <w:p>
            <w:pPr>
              <w:pStyle w:val="Style24"/>
              <w:snapToGrid w:val="false"/>
              <w:jc w:val="both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b w:val="false"/>
                <w:bCs w:val="false"/>
                <w:iCs/>
                <w:color w:val="000000"/>
                <w:sz w:val="22"/>
                <w:szCs w:val="22"/>
                <w:u w:val="none"/>
                <w:lang w:val="ru-RU" w:eastAsia="ru-RU"/>
              </w:rPr>
              <w:t>Согласно Правил  землепользования и застройки муниципального образования «Высококолковское сельское поселение» утвержденые</w:t>
            </w:r>
            <w:r>
              <w:rPr>
                <w:rStyle w:val="Style10"/>
                <w:rFonts w:eastAsia="Arial" w:cs="Times New Roman" w:ascii="Times New Roman" w:hAnsi="Times New Roman"/>
                <w:b w:val="false"/>
                <w:bCs w:val="false"/>
                <w:iCs/>
                <w:color w:val="000000"/>
                <w:sz w:val="22"/>
                <w:szCs w:val="22"/>
                <w:u w:val="none"/>
                <w:lang w:val="ru-RU" w:eastAsia="ru-RU"/>
              </w:rPr>
              <w:t xml:space="preserve"> решением Совета депутатов муниципального образования «Высококолковское сельское поселение» от 14.07.2014 № 11/24 «Об утверждении Правил землепользования и застройки муниципального образования «Высококолковское сельское поселение» Новомалыклинского района Ульяновской области</w:t>
            </w:r>
            <w:r>
              <w:rPr>
                <w:rStyle w:val="Style10"/>
                <w:rFonts w:eastAsia="Times New Roman" w:cs="Times New Roman" w:ascii="Times New Roman" w:hAnsi="Times New Roman"/>
                <w:b w:val="false"/>
                <w:bCs w:val="false"/>
                <w:iCs/>
                <w:color w:val="000000"/>
                <w:sz w:val="22"/>
                <w:szCs w:val="22"/>
                <w:u w:val="none"/>
                <w:lang w:val="ru-RU" w:eastAsia="ru-RU"/>
              </w:rPr>
              <w:t xml:space="preserve"> (последние изменения утверждены Приказом Министерства строительства и архитектуры Ульяновской области от 27.12.2021 № 250-пр), земельный участок (кадастровый квартал 73:10:051401), по адресу: Ульяновская область, Новомалыклинский район, с.Еховый Куст, ул.Победы, 11а, расположен в территориальной зоне О2                                          (зона специализированной общественной застройки). В данной зоне, в перечне основных видов разрешенного использования «осуществление религиозных обрядов»  не предусмотрены, в связи с этим возникла необходимость в получении разрешения на условно разрешенный вид изпользования земельного участка «осуществление религиозных обрядов»</w:t>
            </w:r>
          </w:p>
        </w:tc>
        <w:tc>
          <w:tcPr>
            <w:tcW w:w="3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 целесообразно</w:t>
            </w:r>
          </w:p>
        </w:tc>
      </w:tr>
    </w:tbl>
    <w:p>
      <w:pPr>
        <w:pStyle w:val="ConsPlusNonformat"/>
        <w:ind w:hanging="0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В ходе проведения публичных слушаний иными участниками были внесены следующие замечания и предложения:  </w:t>
      </w:r>
    </w:p>
    <w:tbl>
      <w:tblPr>
        <w:tblW w:w="9525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</w:tblPr>
      <w:tblGrid>
        <w:gridCol w:w="675"/>
        <w:gridCol w:w="3688"/>
        <w:gridCol w:w="5162"/>
      </w:tblGrid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ind w:left="-149" w:right="-119" w:hanging="0"/>
              <w:jc w:val="center"/>
              <w:rPr/>
            </w:pPr>
            <w:r>
              <w:rPr>
                <w:rFonts w:eastAsia="Century"/>
                <w:bCs/>
              </w:rPr>
              <w:t xml:space="preserve">№ </w:t>
            </w:r>
            <w:r>
              <w:rPr>
                <w:bCs/>
              </w:rPr>
              <w:t>п/п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ind w:left="-37" w:hanging="0"/>
              <w:jc w:val="center"/>
              <w:rPr>
                <w:bCs/>
              </w:rPr>
            </w:pPr>
            <w:r>
              <w:rPr>
                <w:bCs/>
              </w:rPr>
              <w:t>Содержание предложения/замечания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Аргументированные выводы о целесообразности (нецелесообразности) учёта внесённых участниками предложений и замечаний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4"/>
              <w:rPr/>
            </w:pPr>
            <w:r>
              <w:rPr/>
              <w:t>-</w:t>
            </w:r>
          </w:p>
        </w:tc>
      </w:tr>
    </w:tbl>
    <w:p>
      <w:pPr>
        <w:pStyle w:val="ConsPlusNonformat"/>
        <w:jc w:val="both"/>
        <w:rPr>
          <w:rFonts w:ascii="Times New Roman" w:hAnsi="Times New Roman" w:cs="PT Astra Serif"/>
          <w:sz w:val="28"/>
          <w:szCs w:val="28"/>
        </w:rPr>
      </w:pPr>
      <w:r>
        <w:rPr>
          <w:rFonts w:cs="PT Astra Serif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PT Astra Serif"/>
          <w:sz w:val="28"/>
          <w:szCs w:val="28"/>
        </w:rPr>
      </w:pPr>
      <w:r>
        <w:rPr>
          <w:rFonts w:cs="PT Astra Serif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PT Astra Serif"/>
          <w:sz w:val="28"/>
          <w:szCs w:val="28"/>
        </w:rPr>
      </w:pPr>
      <w:r>
        <w:rPr>
          <w:rFonts w:cs="PT Astra Serif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PT Astra Serif"/>
          <w:sz w:val="28"/>
          <w:szCs w:val="28"/>
        </w:rPr>
      </w:pPr>
      <w:r>
        <w:rPr>
          <w:rFonts w:cs="PT Astra Serif" w:ascii="Times New Roman" w:hAnsi="Times New Roman"/>
          <w:sz w:val="28"/>
          <w:szCs w:val="28"/>
        </w:rPr>
      </w:r>
    </w:p>
    <w:p>
      <w:pPr>
        <w:pStyle w:val="ConsPlusNonformat"/>
        <w:jc w:val="both"/>
        <w:rPr/>
      </w:pPr>
      <w:r>
        <w:rPr>
          <w:rFonts w:cs="PT Astra Serif" w:ascii="Times New Roman" w:hAnsi="Times New Roman"/>
          <w:sz w:val="28"/>
          <w:szCs w:val="28"/>
        </w:rPr>
        <w:t xml:space="preserve"> </w:t>
      </w:r>
      <w:r>
        <w:rPr>
          <w:rFonts w:cs="PT Astra Serif" w:ascii="Times New Roman" w:hAnsi="Times New Roman"/>
          <w:sz w:val="28"/>
          <w:szCs w:val="28"/>
        </w:rPr>
        <w:t xml:space="preserve">Рекомендации организатора публичных слушаний:  </w:t>
      </w:r>
      <w:r>
        <w:rPr>
          <w:rFonts w:eastAsia="Times New Roman" w:cs="Times New Roman" w:ascii="Times New Roman" w:hAnsi="Times New Roman"/>
          <w:b w:val="false"/>
          <w:bCs w:val="false"/>
          <w:iCs/>
          <w:sz w:val="28"/>
          <w:szCs w:val="28"/>
          <w:u w:val="single"/>
          <w:lang w:val="ru-RU" w:eastAsia="ru-RU"/>
        </w:rPr>
        <w:t>Предоставить разрешение</w:t>
      </w:r>
      <w:r>
        <w:rPr>
          <w:rFonts w:eastAsia="Times New Roman" w:cs="Times New Roman" w:ascii="Times New Roman" w:hAnsi="Times New Roman"/>
          <w:b w:val="false"/>
          <w:bCs/>
          <w:iCs/>
          <w:sz w:val="28"/>
          <w:szCs w:val="28"/>
          <w:u w:val="single"/>
          <w:lang w:val="ru-RU" w:eastAsia="ru-RU"/>
        </w:rPr>
        <w:t xml:space="preserve"> </w:t>
      </w:r>
      <w:r>
        <w:rPr>
          <w:rStyle w:val="Style13"/>
          <w:rFonts w:eastAsia="Times New Roman CYR" w:cs="Times New Roman" w:ascii="Times New Roman" w:hAnsi="Times New Roman"/>
          <w:b w:val="false"/>
          <w:bCs w:val="false"/>
          <w:iCs/>
          <w:color w:val="000000"/>
          <w:sz w:val="28"/>
          <w:szCs w:val="28"/>
          <w:u w:val="single"/>
          <w:lang w:val="ru-RU" w:eastAsia="ru-RU"/>
        </w:rPr>
        <w:t xml:space="preserve"> </w:t>
      </w:r>
      <w:r>
        <w:rPr>
          <w:rStyle w:val="Style13"/>
          <w:rFonts w:eastAsia="Times New Roman CYR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u w:val="single"/>
          <w:lang w:val="ru-RU" w:eastAsia="ru-RU"/>
        </w:rPr>
        <w:t xml:space="preserve">  </w:t>
      </w:r>
      <w:r>
        <w:rPr>
          <w:rStyle w:val="Style13"/>
          <w:rFonts w:eastAsia="PT Astra Serif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u w:val="single"/>
          <w:lang w:val="ru-RU" w:eastAsia="ru-RU"/>
        </w:rPr>
        <w:t xml:space="preserve">                                                                                                    </w:t>
      </w:r>
      <w:r>
        <w:rPr>
          <w:rStyle w:val="Style13"/>
          <w:rFonts w:eastAsia="PT Astra Serif" w:cs="Times New Roman" w:ascii="PT Astra Serif" w:hAnsi="PT Astra Serif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u w:val="single"/>
          <w:lang w:val="ru-RU" w:eastAsia="ru-RU"/>
        </w:rPr>
        <w:t xml:space="preserve"> на условно разрешенный вид использования земельного участка</w:t>
      </w:r>
      <w:r>
        <w:rPr>
          <w:rStyle w:val="Style13"/>
          <w:rFonts w:eastAsia="PT Astra Serif" w:cs="PT Astra Serif" w:ascii="PT Astra Serif" w:hAnsi="PT Astra Serif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u w:val="single"/>
          <w:lang w:val="ru-RU" w:eastAsia="ru-RU"/>
        </w:rPr>
        <w:t xml:space="preserve"> под «осуществление религиозных обрядов»</w:t>
      </w:r>
      <w:r>
        <w:rPr>
          <w:rStyle w:val="Style13"/>
          <w:rFonts w:eastAsia="PT Astra Serif" w:cs="PT Astra Serif" w:ascii="PT Astra Serif" w:hAnsi="PT Astra Serif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u w:val="single"/>
          <w:lang w:val="ru-RU" w:eastAsia="ru-RU"/>
        </w:rPr>
        <w:t xml:space="preserve"> расположенного по адресу:  Российская Федерация, Ульяновская область, Новомалыклинский район, муниципальное образование «Высококолковское сельское поселение», село Елховый Куст, улица Победы, 11а                                                                             .                                                                          </w:t>
      </w:r>
      <w:r>
        <w:rPr>
          <w:rStyle w:val="Style13"/>
          <w:rFonts w:eastAsia="PT Astra Serif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u w:val="single"/>
          <w:lang w:val="ru-RU" w:eastAsia="ru-RU"/>
        </w:rPr>
        <w:t xml:space="preserve">                                              </w:t>
      </w:r>
      <w:r>
        <w:rPr>
          <w:rStyle w:val="Style13"/>
          <w:rFonts w:eastAsia="PT Astra Serif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u w:val="none"/>
          <w:lang w:val="ru-RU" w:eastAsia="ru-RU"/>
        </w:rPr>
        <w:t xml:space="preserve">            </w:t>
      </w:r>
      <w:r>
        <w:rPr>
          <w:rStyle w:val="Style13"/>
          <w:rFonts w:eastAsia="PT Astra Serif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u w:val="single"/>
          <w:lang w:val="ru-RU" w:eastAsia="ru-RU"/>
        </w:rPr>
        <w:t xml:space="preserve">                                           </w:t>
      </w:r>
      <w:r>
        <w:rPr>
          <w:rStyle w:val="Style13"/>
          <w:rFonts w:eastAsia="PT Astra Serif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u w:val="none"/>
          <w:lang w:val="ru-RU" w:eastAsia="ru-RU"/>
        </w:rPr>
        <w:t xml:space="preserve">             </w:t>
      </w:r>
      <w:r>
        <w:rPr>
          <w:rStyle w:val="Style13"/>
          <w:rFonts w:eastAsia="PT Astra Serif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u w:val="single"/>
          <w:lang w:val="ru-RU" w:eastAsia="ru-RU"/>
        </w:rPr>
        <w:t xml:space="preserve">                                     </w:t>
      </w:r>
      <w:r>
        <w:rPr>
          <w:rStyle w:val="Style13"/>
          <w:rFonts w:eastAsia="PT Astra Serif" w:cs="PT Astra Serif" w:ascii="PT Astra Serif" w:hAnsi="PT Astra Serif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u w:val="single"/>
          <w:lang w:val="ru-RU" w:eastAsia="ru-RU"/>
        </w:rPr>
        <w:t xml:space="preserve">                                                                    </w:t>
      </w:r>
      <w:r>
        <w:rPr>
          <w:rStyle w:val="Style13"/>
          <w:rFonts w:eastAsia="Times New Roman CYR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u w:val="single"/>
          <w:lang w:val="ru-RU" w:eastAsia="ru-RU"/>
        </w:rPr>
        <w:t xml:space="preserve">                                                                                            </w:t>
      </w:r>
      <w:r>
        <w:rPr>
          <w:rFonts w:cs="PT Astra Serif" w:ascii="Times New Roman" w:hAnsi="Times New Roman"/>
          <w:sz w:val="28"/>
          <w:szCs w:val="28"/>
        </w:rPr>
        <w:t xml:space="preserve">  </w:t>
      </w:r>
    </w:p>
    <w:p>
      <w:pPr>
        <w:pStyle w:val="ConsPlusNonformat"/>
        <w:jc w:val="center"/>
        <w:rPr>
          <w:rFonts w:ascii="PT Astra Serif" w:hAnsi="PT Astra Serif" w:cs="PT Astra Serif"/>
        </w:rPr>
      </w:pPr>
      <w:r>
        <w:rPr>
          <w:rFonts w:cs="PT Astra Serif" w:ascii="Times New Roman" w:hAnsi="Times New Roman"/>
        </w:rPr>
        <w:t>(направление проекта на дальнейшее согласование и утверждение либо на направление проекта на доработку)</w:t>
      </w:r>
    </w:p>
    <w:p>
      <w:pPr>
        <w:pStyle w:val="ConsPlusNonformat"/>
        <w:jc w:val="center"/>
        <w:rPr>
          <w:rFonts w:ascii="Times New Roman" w:hAnsi="Times New Roman" w:cs="PT Astra Serif"/>
        </w:rPr>
      </w:pPr>
      <w:r>
        <w:rPr>
          <w:rFonts w:cs="PT Astra Serif" w:ascii="Times New Roman" w:hAnsi="Times New Roman"/>
        </w:rPr>
      </w:r>
    </w:p>
    <w:p>
      <w:pPr>
        <w:pStyle w:val="ConsPlusNonformat"/>
        <w:jc w:val="center"/>
        <w:rPr>
          <w:rFonts w:ascii="Times New Roman" w:hAnsi="Times New Roman" w:cs="PT Astra Serif"/>
        </w:rPr>
      </w:pPr>
      <w:r>
        <w:rPr>
          <w:rFonts w:cs="PT Astra Serif" w:ascii="Times New Roman" w:hAnsi="Times New Roman"/>
        </w:rPr>
      </w:r>
    </w:p>
    <w:p>
      <w:pPr>
        <w:pStyle w:val="ConsPlusNonformat"/>
        <w:jc w:val="center"/>
        <w:rPr>
          <w:rFonts w:ascii="Times New Roman" w:hAnsi="Times New Roman" w:cs="PT Astra Serif"/>
        </w:rPr>
      </w:pPr>
      <w:r>
        <w:rPr>
          <w:rFonts w:cs="PT Astra Serif" w:ascii="Times New Roman" w:hAnsi="Times New Roman"/>
        </w:rPr>
      </w:r>
    </w:p>
    <w:p>
      <w:pPr>
        <w:pStyle w:val="Normal"/>
        <w:rPr/>
      </w:pPr>
      <w:r>
        <w:rPr>
          <w:rFonts w:cs="PT Astra Serif" w:ascii="Times New Roman" w:hAnsi="Times New Roman"/>
          <w:sz w:val="28"/>
          <w:szCs w:val="28"/>
          <w:u w:val="single"/>
        </w:rPr>
        <w:t xml:space="preserve">Начальник управления  строительства, архитектуры администрации МО      «Новомалыклинский район»                                                          Павлова Н.К. </w:t>
      </w:r>
    </w:p>
    <w:p>
      <w:pPr>
        <w:pStyle w:val="ConsPlusNonformat"/>
        <w:jc w:val="center"/>
        <w:rPr>
          <w:rFonts w:ascii="Times New Roman" w:hAnsi="Times New Roman"/>
        </w:rPr>
      </w:pPr>
      <w:r>
        <w:rPr>
          <w:rFonts w:eastAsia="PT Astra Serif" w:cs="PT Astra Serif" w:ascii="Times New Roman" w:hAnsi="Times New Roman"/>
          <w:sz w:val="28"/>
          <w:szCs w:val="28"/>
        </w:rPr>
        <w:t xml:space="preserve"> </w:t>
      </w:r>
      <w:r>
        <w:rPr>
          <w:rFonts w:eastAsia="PT Astra Serif" w:cs="PT Astra Serif" w:ascii="Times New Roman" w:hAnsi="Times New Roman"/>
          <w:sz w:val="20"/>
          <w:szCs w:val="20"/>
        </w:rPr>
        <w:t xml:space="preserve">      </w:t>
      </w:r>
      <w:r>
        <w:rPr>
          <w:rFonts w:cs="PT Astra Serif" w:ascii="Times New Roman" w:hAnsi="Times New Roman"/>
          <w:sz w:val="20"/>
          <w:szCs w:val="20"/>
        </w:rPr>
        <w:t>(должность, подпись и расшифровка подписи должностного лица,</w:t>
      </w:r>
    </w:p>
    <w:p>
      <w:pPr>
        <w:pStyle w:val="ConsPlusNonformat"/>
        <w:jc w:val="center"/>
        <w:rPr/>
      </w:pPr>
      <w:r>
        <w:rPr>
          <w:rFonts w:cs="PT Astra Serif" w:ascii="Times New Roman" w:hAnsi="Times New Roman"/>
          <w:strike w:val="false"/>
          <w:dstrike w:val="false"/>
          <w:sz w:val="20"/>
          <w:szCs w:val="20"/>
          <w:u w:val="none"/>
          <w:effect w:val="none"/>
        </w:rPr>
        <w:t>ответственного за проведение публичных слушаний)</w:t>
      </w:r>
    </w:p>
    <w:sectPr>
      <w:type w:val="nextPage"/>
      <w:pgSz w:w="11906" w:h="16838"/>
      <w:pgMar w:left="1388" w:right="993" w:header="0" w:top="332" w:footer="0" w:bottom="181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YS Text">
    <w:altName w:val="Arial"/>
    <w:charset w:val="cc"/>
    <w:family w:val="roman"/>
    <w:pitch w:val="variable"/>
  </w:font>
  <w:font w:name="Symbol">
    <w:charset w:val="cc"/>
    <w:family w:val="roman"/>
    <w:pitch w:val="variable"/>
  </w:font>
  <w:font w:name="PT Astra Serif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entury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Heading 1"/>
    <w:basedOn w:val="Style19"/>
    <w:qFormat/>
    <w:pPr>
      <w:bidi w:val="0"/>
      <w:jc w:val="left"/>
    </w:pPr>
    <w:rPr/>
  </w:style>
  <w:style w:type="paragraph" w:styleId="2">
    <w:name w:val="Heading 2"/>
    <w:basedOn w:val="Style19"/>
    <w:qFormat/>
    <w:pPr/>
    <w:rPr/>
  </w:style>
  <w:style w:type="paragraph" w:styleId="3">
    <w:name w:val="Heading 3"/>
    <w:basedOn w:val="Style19"/>
    <w:qFormat/>
    <w:pPr/>
    <w:rPr/>
  </w:style>
  <w:style w:type="paragraph" w:styleId="4">
    <w:name w:val="Heading 4"/>
    <w:basedOn w:val="Style19"/>
    <w:qFormat/>
    <w:pPr/>
    <w:rPr/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character" w:styleId="Style11">
    <w:name w:val="Основной шрифт абзаца"/>
    <w:qFormat/>
    <w:rPr/>
  </w:style>
  <w:style w:type="character" w:styleId="Style12">
    <w:name w:val="Выделение жирным"/>
    <w:qFormat/>
    <w:rPr>
      <w:b/>
      <w:bCs/>
    </w:rPr>
  </w:style>
  <w:style w:type="character" w:styleId="Style13">
    <w:name w:val="???????? ????? ??????"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YS Text;Arial;Helvetica;sans-serif" w:hAnsi="YS Text;Arial;Helvetica;sans-serif" w:cs="OpenSymbol"/>
      <w:b w:val="false"/>
      <w:sz w:val="2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sz w:val="26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Style15">
    <w:name w:val="Символ сноски"/>
    <w:qFormat/>
    <w:rPr/>
  </w:style>
  <w:style w:type="character" w:styleId="Style16">
    <w:name w:val="Привязка сноски"/>
    <w:rPr>
      <w:vertAlign w:val="superscript"/>
    </w:rPr>
  </w:style>
  <w:style w:type="character" w:styleId="Style17">
    <w:name w:val="Символы концевой сноски"/>
    <w:qFormat/>
    <w:rPr/>
  </w:style>
  <w:style w:type="character" w:styleId="Style18">
    <w:name w:val="Привязка концевой сноски"/>
    <w:rPr>
      <w:vertAlign w:val="superscript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WW8Num23z0">
    <w:name w:val="WW8Num23z0"/>
    <w:qFormat/>
    <w:rPr>
      <w:rFonts w:ascii="Symbol" w:hAnsi="Symbol" w:eastAsia="Symbol" w:cs="Symbol"/>
      <w:color w:val="000000"/>
      <w:sz w:val="28"/>
      <w:szCs w:val="28"/>
    </w:rPr>
  </w:style>
  <w:style w:type="character" w:styleId="ListLabel28">
    <w:name w:val="ListLabel 28"/>
    <w:qFormat/>
    <w:rPr>
      <w:rFonts w:cs="Symbol"/>
      <w:color w:val="000000"/>
      <w:sz w:val="28"/>
      <w:szCs w:val="28"/>
    </w:rPr>
  </w:style>
  <w:style w:type="character" w:styleId="ListLabel37">
    <w:name w:val="ListLabel 37"/>
    <w:qFormat/>
    <w:rPr>
      <w:rFonts w:ascii="PT Astra Serif" w:hAnsi="PT Astra Serif"/>
      <w:sz w:val="26"/>
      <w:szCs w:val="26"/>
      <w:lang w:val="ru-RU"/>
    </w:rPr>
  </w:style>
  <w:style w:type="character" w:styleId="ListLabel39">
    <w:name w:val="ListLabel 39"/>
    <w:qFormat/>
    <w:rPr>
      <w:rFonts w:ascii="PT Astra Serif" w:hAnsi="PT Astra Serif"/>
      <w:sz w:val="27"/>
      <w:szCs w:val="27"/>
      <w:lang w:val="ru-RU"/>
    </w:rPr>
  </w:style>
  <w:style w:type="character" w:styleId="ListLabel163">
    <w:name w:val="ListLabel 163"/>
    <w:qFormat/>
    <w:rPr>
      <w:rFonts w:ascii="Times New Roman" w:hAnsi="Times New Roman"/>
      <w:b/>
      <w:sz w:val="28"/>
      <w:szCs w:val="28"/>
    </w:rPr>
  </w:style>
  <w:style w:type="character" w:styleId="ListLabel164">
    <w:name w:val="ListLabel 164"/>
    <w:qFormat/>
    <w:rPr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bidi w:val="0"/>
      <w:spacing w:lineRule="auto" w:line="288" w:before="0" w:after="140"/>
      <w:jc w:val="left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paragraph" w:styleId="Style26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zh-CN" w:bidi="ar-SA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Footer"/>
    <w:basedOn w:val="Normal"/>
    <w:pPr/>
    <w:rPr/>
  </w:style>
  <w:style w:type="paragraph" w:styleId="Style29">
    <w:name w:val="Иллюстрация"/>
    <w:basedOn w:val="Style22"/>
    <w:qFormat/>
    <w:pPr/>
    <w:rPr/>
  </w:style>
  <w:style w:type="paragraph" w:styleId="Style30">
    <w:name w:val="Содержимое врезки"/>
    <w:basedOn w:val="Normal"/>
    <w:qFormat/>
    <w:pPr/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entury" w:hAnsi="Century" w:eastAsia="Times New Roman" w:cs="Times New Roman"/>
      <w:color w:val="00000A"/>
      <w:sz w:val="20"/>
      <w:szCs w:val="20"/>
      <w:lang w:val="en-US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1735</TotalTime>
  <Application>LibreOffice/5.2.1.2$Windows_x86 LibreOffice_project/31dd62db80d4e60af04904455ec9c9219178d620</Application>
  <Pages>2</Pages>
  <Words>322</Words>
  <Characters>2644</Characters>
  <CharactersWithSpaces>4012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2017-04-24T11:55:47Z</dcterms:created>
  <dc:creator/>
  <dc:description/>
  <dc:language>ru-RU</dc:language>
  <cp:lastModifiedBy/>
  <cp:lastPrinted>2024-02-19T11:15:22Z</cp:lastPrinted>
  <dcterms:modified xsi:type="dcterms:W3CDTF">2024-02-19T11:18:56Z</dcterms:modified>
  <cp:revision>158</cp:revision>
  <dc:subject/>
  <dc:title/>
</cp:coreProperties>
</file>